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E0B72" w14:textId="77777777" w:rsidR="005B5D67" w:rsidRDefault="005B5D67" w:rsidP="0088107E">
      <w:pPr>
        <w:contextualSpacing/>
        <w:rPr>
          <w:b/>
          <w:bCs/>
        </w:rPr>
      </w:pPr>
    </w:p>
    <w:p w14:paraId="35F8944A" w14:textId="434A61F6" w:rsidR="005B5D67" w:rsidRDefault="005B5D67" w:rsidP="0088107E">
      <w:pPr>
        <w:contextualSpacing/>
        <w:rPr>
          <w:b/>
          <w:bCs/>
        </w:rPr>
      </w:pPr>
      <w:r>
        <w:rPr>
          <w:noProof/>
          <w:lang w:eastAsia="sv-SE"/>
        </w:rPr>
        <w:drawing>
          <wp:inline distT="0" distB="0" distL="0" distR="0" wp14:anchorId="179CF209" wp14:editId="10F6487B">
            <wp:extent cx="1014027" cy="108839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 genomskinli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544" cy="111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A2C01" w14:textId="77777777" w:rsidR="00D0633C" w:rsidRDefault="00D0633C" w:rsidP="00790495">
      <w:pPr>
        <w:contextualSpacing/>
      </w:pPr>
    </w:p>
    <w:p w14:paraId="5E4B571E" w14:textId="0858004A" w:rsidR="00D0633C" w:rsidRDefault="00D0633C" w:rsidP="00790495">
      <w:pPr>
        <w:contextualSpacing/>
      </w:pPr>
    </w:p>
    <w:p w14:paraId="49BDEEA3" w14:textId="4371C859" w:rsidR="00576B8E" w:rsidRPr="007E5302" w:rsidRDefault="00576B8E" w:rsidP="00576B8E">
      <w:pPr>
        <w:rPr>
          <w:rFonts w:cstheme="minorHAnsi"/>
          <w:szCs w:val="32"/>
        </w:rPr>
      </w:pPr>
      <w:r>
        <w:rPr>
          <w:rFonts w:cstheme="minorHAnsi"/>
          <w:b/>
          <w:sz w:val="32"/>
          <w:szCs w:val="32"/>
        </w:rPr>
        <w:t>CHECKLISTA INFÖR TÄVLING</w:t>
      </w:r>
      <w:r w:rsidR="00B4168C">
        <w:rPr>
          <w:rFonts w:cstheme="minorHAnsi"/>
          <w:b/>
          <w:sz w:val="32"/>
          <w:szCs w:val="32"/>
        </w:rPr>
        <w:br/>
      </w:r>
      <w:r>
        <w:rPr>
          <w:rFonts w:cstheme="minorHAnsi"/>
          <w:b/>
          <w:sz w:val="32"/>
          <w:szCs w:val="32"/>
        </w:rPr>
        <w:br/>
      </w:r>
      <w:r>
        <w:rPr>
          <w:rFonts w:cstheme="minorHAnsi"/>
          <w:szCs w:val="32"/>
        </w:rPr>
        <w:t>Fylls i och publiceras i proposition via länk, i ryttarmeddelande samt som dokument på online.equipe.com</w:t>
      </w:r>
      <w:r w:rsidR="004C6A83">
        <w:rPr>
          <w:rFonts w:cstheme="minorHAnsi"/>
          <w:szCs w:val="32"/>
        </w:rPr>
        <w:br/>
      </w:r>
      <w:r>
        <w:rPr>
          <w:rFonts w:cstheme="minorHAnsi"/>
          <w:szCs w:val="32"/>
        </w:rPr>
        <w:br/>
      </w:r>
      <w:r w:rsidRPr="003F6EB4">
        <w:rPr>
          <w:rFonts w:cstheme="minorHAnsi"/>
          <w:szCs w:val="32"/>
        </w:rPr>
        <w:t xml:space="preserve">Om svaren är ja på många av </w:t>
      </w:r>
      <w:r>
        <w:rPr>
          <w:rFonts w:cstheme="minorHAnsi"/>
          <w:szCs w:val="32"/>
        </w:rPr>
        <w:t xml:space="preserve">de åtta inledande </w:t>
      </w:r>
      <w:r w:rsidRPr="003F6EB4">
        <w:rPr>
          <w:rFonts w:cstheme="minorHAnsi"/>
          <w:szCs w:val="32"/>
        </w:rPr>
        <w:t xml:space="preserve">frågorna, överväg att ställa in eller skjuta upp </w:t>
      </w:r>
      <w:r w:rsidR="00C24E1E">
        <w:rPr>
          <w:rFonts w:cstheme="minorHAnsi"/>
          <w:szCs w:val="32"/>
        </w:rPr>
        <w:t>tävlingen</w:t>
      </w:r>
      <w:r w:rsidRPr="003F6EB4">
        <w:rPr>
          <w:rFonts w:cstheme="minorHAnsi"/>
          <w:szCs w:val="32"/>
        </w:rPr>
        <w:t>. För varje fråga som besvaras med ”ja” ska riskreducerande åtgärder identifieras och en handlingsplan skapas för detta.</w:t>
      </w:r>
    </w:p>
    <w:p w14:paraId="1678BC28" w14:textId="77777777" w:rsidR="00576B8E" w:rsidRPr="000417DC" w:rsidRDefault="00576B8E" w:rsidP="00576B8E">
      <w:pPr>
        <w:rPr>
          <w:rFonts w:cstheme="minorHAnsi"/>
          <w:szCs w:val="32"/>
        </w:rPr>
      </w:pPr>
      <w:r>
        <w:rPr>
          <w:rFonts w:cstheme="minorHAnsi"/>
          <w:szCs w:val="20"/>
        </w:rPr>
        <w:t>Regelverk, riskreducerande åtgärder och tips till arrangörer finns i tillfälliga TR:</w:t>
      </w:r>
      <w:r>
        <w:rPr>
          <w:rFonts w:cstheme="minorHAnsi"/>
          <w:szCs w:val="20"/>
        </w:rPr>
        <w:br/>
      </w:r>
      <w:hyperlink r:id="rId7" w:history="1">
        <w:r w:rsidRPr="00A0049C">
          <w:rPr>
            <w:rStyle w:val="Hyperlnk"/>
            <w:rFonts w:cstheme="minorHAnsi"/>
            <w:szCs w:val="20"/>
          </w:rPr>
          <w:t>https://www.ridsport.se/tavling/ReglerochTR/</w:t>
        </w:r>
      </w:hyperlink>
    </w:p>
    <w:p w14:paraId="574A93D8" w14:textId="63169E68" w:rsidR="00576B8E" w:rsidRDefault="00576B8E" w:rsidP="00790495">
      <w:pPr>
        <w:contextualSpacing/>
      </w:pPr>
    </w:p>
    <w:p w14:paraId="75C7ECEC" w14:textId="77777777" w:rsidR="00576B8E" w:rsidRDefault="00576B8E" w:rsidP="00790495">
      <w:pPr>
        <w:contextualSpacing/>
      </w:pPr>
    </w:p>
    <w:tbl>
      <w:tblPr>
        <w:tblStyle w:val="Rutntstabell1ljus"/>
        <w:tblW w:w="5000" w:type="pct"/>
        <w:tblLook w:val="04A0" w:firstRow="1" w:lastRow="0" w:firstColumn="1" w:lastColumn="0" w:noHBand="0" w:noVBand="1"/>
      </w:tblPr>
      <w:tblGrid>
        <w:gridCol w:w="4023"/>
        <w:gridCol w:w="430"/>
        <w:gridCol w:w="500"/>
        <w:gridCol w:w="4109"/>
      </w:tblGrid>
      <w:tr w:rsidR="00576B8E" w:rsidRPr="00D6206D" w14:paraId="5E685E0D" w14:textId="77777777" w:rsidTr="00576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pct"/>
          </w:tcPr>
          <w:p w14:paraId="709E5AF1" w14:textId="77777777" w:rsidR="00576B8E" w:rsidRPr="00D6206D" w:rsidRDefault="00576B8E" w:rsidP="00576B8E">
            <w:pPr>
              <w:rPr>
                <w:rFonts w:cstheme="minorHAnsi"/>
                <w:sz w:val="20"/>
                <w:szCs w:val="20"/>
              </w:rPr>
            </w:pPr>
          </w:p>
          <w:p w14:paraId="0613B4C8" w14:textId="77777777" w:rsidR="00576B8E" w:rsidRPr="00D6206D" w:rsidRDefault="00576B8E" w:rsidP="00576B8E">
            <w:pPr>
              <w:rPr>
                <w:rFonts w:cstheme="minorHAnsi"/>
                <w:sz w:val="20"/>
                <w:szCs w:val="20"/>
              </w:rPr>
            </w:pPr>
            <w:r w:rsidRPr="00D6206D">
              <w:rPr>
                <w:rFonts w:cstheme="minorHAnsi"/>
                <w:sz w:val="20"/>
                <w:szCs w:val="20"/>
              </w:rPr>
              <w:t>Riskfaktor</w:t>
            </w:r>
            <w:r>
              <w:rPr>
                <w:rFonts w:cstheme="minorHAnsi"/>
                <w:sz w:val="20"/>
                <w:szCs w:val="20"/>
              </w:rPr>
              <w:t>/åtgärd</w:t>
            </w:r>
          </w:p>
          <w:p w14:paraId="3D0B1F6B" w14:textId="77777777" w:rsidR="00576B8E" w:rsidRPr="00D6206D" w:rsidRDefault="00576B8E" w:rsidP="00576B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</w:tcPr>
          <w:p w14:paraId="6EC11FA3" w14:textId="77777777" w:rsidR="00576B8E" w:rsidRPr="00D6206D" w:rsidRDefault="00576B8E" w:rsidP="005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1E7B345" w14:textId="77777777" w:rsidR="00576B8E" w:rsidRPr="00D6206D" w:rsidRDefault="00576B8E" w:rsidP="005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06D">
              <w:rPr>
                <w:rFonts w:cstheme="minorHAnsi"/>
                <w:sz w:val="20"/>
                <w:szCs w:val="20"/>
              </w:rPr>
              <w:t>Ja</w:t>
            </w:r>
          </w:p>
        </w:tc>
        <w:tc>
          <w:tcPr>
            <w:tcW w:w="276" w:type="pct"/>
          </w:tcPr>
          <w:p w14:paraId="30D505B4" w14:textId="77777777" w:rsidR="00576B8E" w:rsidRPr="00D6206D" w:rsidRDefault="00576B8E" w:rsidP="005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748A79A" w14:textId="77777777" w:rsidR="00576B8E" w:rsidRPr="00D6206D" w:rsidRDefault="00576B8E" w:rsidP="005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06D">
              <w:rPr>
                <w:rFonts w:cstheme="minorHAnsi"/>
                <w:sz w:val="20"/>
                <w:szCs w:val="20"/>
              </w:rPr>
              <w:t>Nej</w:t>
            </w:r>
          </w:p>
        </w:tc>
        <w:tc>
          <w:tcPr>
            <w:tcW w:w="2267" w:type="pct"/>
          </w:tcPr>
          <w:p w14:paraId="3952AE4A" w14:textId="77777777" w:rsidR="00576B8E" w:rsidRPr="00D6206D" w:rsidRDefault="00576B8E" w:rsidP="00576B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3F523BA" w14:textId="77777777" w:rsidR="00576B8E" w:rsidRPr="00D6206D" w:rsidRDefault="00576B8E" w:rsidP="00576B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06D">
              <w:rPr>
                <w:rFonts w:cstheme="minorHAnsi"/>
                <w:sz w:val="20"/>
                <w:szCs w:val="20"/>
              </w:rPr>
              <w:t>Riskreducerande åtgärder</w:t>
            </w:r>
          </w:p>
        </w:tc>
      </w:tr>
      <w:tr w:rsidR="00576B8E" w:rsidRPr="00D6206D" w14:paraId="3D1BFA01" w14:textId="77777777" w:rsidTr="00576B8E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pct"/>
            <w:vAlign w:val="center"/>
          </w:tcPr>
          <w:p w14:paraId="64ECFD80" w14:textId="77777777" w:rsidR="00576B8E" w:rsidRPr="00D6206D" w:rsidRDefault="00576B8E" w:rsidP="00576B8E">
            <w:pPr>
              <w:spacing w:before="240"/>
              <w:rPr>
                <w:rFonts w:cstheme="minorHAnsi"/>
                <w:b w:val="0"/>
                <w:sz w:val="20"/>
                <w:szCs w:val="18"/>
              </w:rPr>
            </w:pPr>
            <w:r w:rsidRPr="00D6206D">
              <w:rPr>
                <w:rFonts w:cstheme="minorHAnsi"/>
                <w:b w:val="0"/>
                <w:sz w:val="20"/>
                <w:szCs w:val="18"/>
              </w:rPr>
              <w:t>Internationellt deltagande</w:t>
            </w:r>
            <w:r w:rsidRPr="00D6206D">
              <w:rPr>
                <w:rFonts w:cstheme="minorHAnsi"/>
                <w:b w:val="0"/>
                <w:sz w:val="20"/>
                <w:szCs w:val="18"/>
              </w:rPr>
              <w:br/>
            </w:r>
          </w:p>
        </w:tc>
        <w:tc>
          <w:tcPr>
            <w:tcW w:w="237" w:type="pct"/>
            <w:vAlign w:val="center"/>
          </w:tcPr>
          <w:p w14:paraId="72C5FD1A" w14:textId="631F8EF8" w:rsidR="00576B8E" w:rsidRPr="00D6206D" w:rsidRDefault="00C465D8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76" w:type="pct"/>
            <w:vAlign w:val="center"/>
          </w:tcPr>
          <w:p w14:paraId="308BB3F9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67" w:type="pct"/>
          </w:tcPr>
          <w:p w14:paraId="7A843617" w14:textId="0E5D44C5" w:rsidR="00576B8E" w:rsidRPr="00D6206D" w:rsidRDefault="00A42EE2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TBC</w:t>
            </w:r>
          </w:p>
        </w:tc>
      </w:tr>
      <w:tr w:rsidR="00576B8E" w:rsidRPr="00D6206D" w14:paraId="66442512" w14:textId="77777777" w:rsidTr="00576B8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pct"/>
            <w:vAlign w:val="center"/>
          </w:tcPr>
          <w:p w14:paraId="7552D6B2" w14:textId="77777777" w:rsidR="00576B8E" w:rsidRPr="00D6206D" w:rsidRDefault="00576B8E" w:rsidP="00576B8E">
            <w:pPr>
              <w:spacing w:before="240"/>
              <w:rPr>
                <w:rFonts w:cstheme="minorHAnsi"/>
                <w:b w:val="0"/>
                <w:sz w:val="20"/>
                <w:szCs w:val="20"/>
              </w:rPr>
            </w:pPr>
            <w:r w:rsidRPr="00D6206D">
              <w:rPr>
                <w:rFonts w:cstheme="minorHAnsi"/>
                <w:b w:val="0"/>
                <w:sz w:val="20"/>
                <w:szCs w:val="20"/>
              </w:rPr>
              <w:t xml:space="preserve">Deltagare med samhällsviktiga arbeten </w:t>
            </w:r>
            <w:r w:rsidRPr="00D6206D">
              <w:rPr>
                <w:rFonts w:cstheme="minorHAnsi"/>
                <w:b w:val="0"/>
                <w:sz w:val="20"/>
                <w:szCs w:val="20"/>
              </w:rPr>
              <w:br/>
            </w:r>
            <w:r w:rsidRPr="00D6206D">
              <w:rPr>
                <w:rFonts w:cstheme="minorHAnsi"/>
                <w:b w:val="0"/>
                <w:i/>
                <w:sz w:val="20"/>
                <w:szCs w:val="20"/>
              </w:rPr>
              <w:t>(t.ex. personal från vård och omsorg)</w:t>
            </w:r>
          </w:p>
        </w:tc>
        <w:tc>
          <w:tcPr>
            <w:tcW w:w="237" w:type="pct"/>
            <w:vAlign w:val="center"/>
          </w:tcPr>
          <w:p w14:paraId="06035ECF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4A58CD4B" w14:textId="31709E97" w:rsidR="00576B8E" w:rsidRPr="00D6206D" w:rsidRDefault="00C465D8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267" w:type="pct"/>
          </w:tcPr>
          <w:p w14:paraId="4BC88286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</w:tr>
      <w:tr w:rsidR="00576B8E" w:rsidRPr="00D6206D" w14:paraId="6542DE2D" w14:textId="77777777" w:rsidTr="00576B8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pct"/>
            <w:vAlign w:val="center"/>
          </w:tcPr>
          <w:p w14:paraId="5F4F0DF0" w14:textId="77777777" w:rsidR="00576B8E" w:rsidRPr="00D6206D" w:rsidRDefault="00576B8E" w:rsidP="00576B8E">
            <w:pPr>
              <w:spacing w:before="240"/>
              <w:rPr>
                <w:rFonts w:cstheme="minorHAnsi"/>
                <w:b w:val="0"/>
                <w:sz w:val="20"/>
                <w:szCs w:val="20"/>
              </w:rPr>
            </w:pPr>
            <w:r w:rsidRPr="00D6206D">
              <w:rPr>
                <w:rFonts w:cstheme="minorHAnsi"/>
                <w:b w:val="0"/>
                <w:sz w:val="20"/>
                <w:szCs w:val="20"/>
              </w:rPr>
              <w:t xml:space="preserve">Deltagare som riskerar allvarligare sjukdom </w:t>
            </w:r>
            <w:r w:rsidRPr="00D6206D">
              <w:rPr>
                <w:rFonts w:cstheme="minorHAnsi"/>
                <w:b w:val="0"/>
                <w:i/>
                <w:sz w:val="20"/>
                <w:szCs w:val="20"/>
              </w:rPr>
              <w:t>(äldre</w:t>
            </w:r>
            <w:r>
              <w:rPr>
                <w:rFonts w:cstheme="minorHAnsi"/>
                <w:b w:val="0"/>
                <w:i/>
                <w:sz w:val="20"/>
                <w:szCs w:val="20"/>
              </w:rPr>
              <w:t xml:space="preserve"> eller andra riskgrupper</w:t>
            </w:r>
            <w:r w:rsidRPr="00D6206D">
              <w:rPr>
                <w:rFonts w:cstheme="minorHAnsi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237" w:type="pct"/>
            <w:vAlign w:val="center"/>
          </w:tcPr>
          <w:p w14:paraId="76D68753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1F1284DF" w14:textId="47D42A89" w:rsidR="00576B8E" w:rsidRPr="00D6206D" w:rsidRDefault="00C465D8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267" w:type="pct"/>
          </w:tcPr>
          <w:p w14:paraId="24803375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</w:tr>
      <w:tr w:rsidR="00576B8E" w:rsidRPr="00D6206D" w14:paraId="0DF5AA6B" w14:textId="77777777" w:rsidTr="00576B8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pct"/>
            <w:vAlign w:val="center"/>
          </w:tcPr>
          <w:p w14:paraId="515259E9" w14:textId="77777777" w:rsidR="00576B8E" w:rsidRPr="00D6206D" w:rsidRDefault="00576B8E" w:rsidP="00576B8E">
            <w:pPr>
              <w:spacing w:before="240"/>
              <w:rPr>
                <w:rFonts w:cstheme="minorHAnsi"/>
                <w:b w:val="0"/>
                <w:sz w:val="20"/>
                <w:szCs w:val="18"/>
              </w:rPr>
            </w:pPr>
            <w:r w:rsidRPr="00D6206D">
              <w:rPr>
                <w:rFonts w:cstheme="minorHAnsi"/>
                <w:b w:val="0"/>
                <w:sz w:val="20"/>
                <w:szCs w:val="20"/>
              </w:rPr>
              <w:t>Inomhusevenemang</w:t>
            </w:r>
            <w:r w:rsidRPr="00D6206D">
              <w:rPr>
                <w:rFonts w:cstheme="minorHAnsi"/>
                <w:b w:val="0"/>
                <w:sz w:val="20"/>
                <w:szCs w:val="20"/>
              </w:rPr>
              <w:br/>
            </w:r>
          </w:p>
        </w:tc>
        <w:tc>
          <w:tcPr>
            <w:tcW w:w="237" w:type="pct"/>
            <w:vAlign w:val="center"/>
          </w:tcPr>
          <w:p w14:paraId="5F501942" w14:textId="19CD5010" w:rsidR="00576B8E" w:rsidRPr="00D6206D" w:rsidRDefault="00C465D8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76" w:type="pct"/>
            <w:vAlign w:val="center"/>
          </w:tcPr>
          <w:p w14:paraId="1EE5DC1C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67" w:type="pct"/>
          </w:tcPr>
          <w:p w14:paraId="7339DD8F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</w:tr>
      <w:tr w:rsidR="00576B8E" w:rsidRPr="00D6206D" w14:paraId="12919163" w14:textId="77777777" w:rsidTr="00576B8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pct"/>
            <w:vAlign w:val="center"/>
          </w:tcPr>
          <w:p w14:paraId="24977AE7" w14:textId="77777777" w:rsidR="00576B8E" w:rsidRPr="00D6206D" w:rsidRDefault="00576B8E" w:rsidP="00576B8E">
            <w:pPr>
              <w:spacing w:before="240"/>
              <w:rPr>
                <w:rFonts w:cstheme="minorHAnsi"/>
                <w:b w:val="0"/>
                <w:sz w:val="20"/>
                <w:szCs w:val="18"/>
              </w:rPr>
            </w:pPr>
            <w:r w:rsidRPr="00D6206D">
              <w:rPr>
                <w:rFonts w:cstheme="minorHAnsi"/>
                <w:b w:val="0"/>
                <w:sz w:val="20"/>
                <w:szCs w:val="18"/>
              </w:rPr>
              <w:t xml:space="preserve">Sammankomsten leder till nära kontakt mellan deltagarna </w:t>
            </w:r>
            <w:r w:rsidRPr="00D6206D">
              <w:rPr>
                <w:rFonts w:cstheme="minorHAnsi"/>
                <w:b w:val="0"/>
                <w:i/>
                <w:sz w:val="20"/>
                <w:szCs w:val="18"/>
              </w:rPr>
              <w:t>(storlek på lokal, typ av aktivet etc.)</w:t>
            </w:r>
          </w:p>
        </w:tc>
        <w:tc>
          <w:tcPr>
            <w:tcW w:w="237" w:type="pct"/>
            <w:vAlign w:val="center"/>
          </w:tcPr>
          <w:p w14:paraId="6252B3F3" w14:textId="74854755" w:rsidR="00576B8E" w:rsidRPr="00D6206D" w:rsidRDefault="00C465D8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76" w:type="pct"/>
            <w:vAlign w:val="center"/>
          </w:tcPr>
          <w:p w14:paraId="19CE6EC9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67" w:type="pct"/>
          </w:tcPr>
          <w:p w14:paraId="1F7CD203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</w:tr>
      <w:tr w:rsidR="00576B8E" w:rsidRPr="00D6206D" w14:paraId="7D768A27" w14:textId="77777777" w:rsidTr="00576B8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pct"/>
            <w:vAlign w:val="center"/>
          </w:tcPr>
          <w:p w14:paraId="758343B3" w14:textId="77777777" w:rsidR="00576B8E" w:rsidRPr="00D6206D" w:rsidRDefault="00576B8E" w:rsidP="00576B8E">
            <w:pPr>
              <w:spacing w:before="240"/>
              <w:rPr>
                <w:rFonts w:cstheme="minorHAnsi"/>
                <w:b w:val="0"/>
                <w:sz w:val="20"/>
                <w:szCs w:val="18"/>
              </w:rPr>
            </w:pPr>
            <w:r w:rsidRPr="00D6206D">
              <w:rPr>
                <w:rFonts w:cstheme="minorHAnsi"/>
                <w:b w:val="0"/>
                <w:sz w:val="20"/>
                <w:szCs w:val="18"/>
              </w:rPr>
              <w:t xml:space="preserve">Hygienåtgärder är inte tillräckliga </w:t>
            </w:r>
            <w:r w:rsidRPr="00D6206D">
              <w:rPr>
                <w:rFonts w:cstheme="minorHAnsi"/>
                <w:b w:val="0"/>
                <w:i/>
                <w:sz w:val="20"/>
                <w:szCs w:val="18"/>
              </w:rPr>
              <w:t>(tillgång till handtvätt, handdesinfektion och städning)</w:t>
            </w:r>
          </w:p>
        </w:tc>
        <w:tc>
          <w:tcPr>
            <w:tcW w:w="237" w:type="pct"/>
            <w:vAlign w:val="center"/>
          </w:tcPr>
          <w:p w14:paraId="47C927D5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0B09EF53" w14:textId="380E79B2" w:rsidR="00576B8E" w:rsidRPr="00D6206D" w:rsidRDefault="00C465D8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267" w:type="pct"/>
          </w:tcPr>
          <w:p w14:paraId="172EE792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</w:tr>
      <w:tr w:rsidR="00576B8E" w:rsidRPr="00D6206D" w14:paraId="62260EFF" w14:textId="77777777" w:rsidTr="00576B8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pct"/>
            <w:vAlign w:val="center"/>
          </w:tcPr>
          <w:p w14:paraId="479EEA43" w14:textId="77777777" w:rsidR="00576B8E" w:rsidRPr="00D6206D" w:rsidRDefault="00576B8E" w:rsidP="00576B8E">
            <w:pPr>
              <w:spacing w:before="240"/>
              <w:rPr>
                <w:rFonts w:cstheme="minorHAnsi"/>
                <w:b w:val="0"/>
                <w:sz w:val="20"/>
                <w:szCs w:val="18"/>
              </w:rPr>
            </w:pPr>
            <w:r w:rsidRPr="00D6206D">
              <w:rPr>
                <w:rFonts w:cstheme="minorHAnsi"/>
                <w:b w:val="0"/>
                <w:sz w:val="20"/>
                <w:szCs w:val="18"/>
              </w:rPr>
              <w:t>Antalet toaletter är inte tillräckliga</w:t>
            </w:r>
            <w:r w:rsidRPr="00D6206D">
              <w:rPr>
                <w:rFonts w:cstheme="minorHAnsi"/>
                <w:b w:val="0"/>
                <w:sz w:val="20"/>
                <w:szCs w:val="18"/>
              </w:rPr>
              <w:br/>
            </w:r>
          </w:p>
        </w:tc>
        <w:tc>
          <w:tcPr>
            <w:tcW w:w="237" w:type="pct"/>
            <w:vAlign w:val="center"/>
          </w:tcPr>
          <w:p w14:paraId="368DDBFD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7B3D55F8" w14:textId="1E5F7835" w:rsidR="00576B8E" w:rsidRPr="00D6206D" w:rsidRDefault="00C465D8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267" w:type="pct"/>
          </w:tcPr>
          <w:p w14:paraId="7B17FBDC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</w:tr>
      <w:tr w:rsidR="00576B8E" w:rsidRPr="00D6206D" w14:paraId="6D2A5D1F" w14:textId="77777777" w:rsidTr="00576B8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pct"/>
            <w:vAlign w:val="center"/>
          </w:tcPr>
          <w:p w14:paraId="691A3203" w14:textId="77777777" w:rsidR="00576B8E" w:rsidRPr="00D6206D" w:rsidRDefault="00576B8E" w:rsidP="00576B8E">
            <w:pPr>
              <w:spacing w:before="240"/>
              <w:rPr>
                <w:rFonts w:cstheme="minorHAnsi"/>
                <w:b w:val="0"/>
                <w:sz w:val="20"/>
                <w:szCs w:val="18"/>
              </w:rPr>
            </w:pPr>
            <w:r w:rsidRPr="00D6206D">
              <w:rPr>
                <w:rFonts w:cstheme="minorHAnsi"/>
                <w:b w:val="0"/>
                <w:sz w:val="20"/>
                <w:szCs w:val="18"/>
              </w:rPr>
              <w:t>Sammankomsten är längre än några timmar</w:t>
            </w:r>
            <w:r w:rsidRPr="00D6206D">
              <w:rPr>
                <w:rFonts w:cstheme="minorHAnsi"/>
                <w:b w:val="0"/>
                <w:sz w:val="20"/>
                <w:szCs w:val="18"/>
              </w:rPr>
              <w:br/>
            </w:r>
          </w:p>
        </w:tc>
        <w:tc>
          <w:tcPr>
            <w:tcW w:w="237" w:type="pct"/>
            <w:vAlign w:val="center"/>
          </w:tcPr>
          <w:p w14:paraId="2CFD9414" w14:textId="4F935B3A" w:rsidR="00576B8E" w:rsidRPr="00D6206D" w:rsidRDefault="00C465D8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76" w:type="pct"/>
            <w:vAlign w:val="center"/>
          </w:tcPr>
          <w:p w14:paraId="172687D4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67" w:type="pct"/>
          </w:tcPr>
          <w:p w14:paraId="3C358B36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</w:tr>
      <w:tr w:rsidR="00576B8E" w:rsidRPr="00D6206D" w14:paraId="2DB24624" w14:textId="77777777" w:rsidTr="00576B8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pct"/>
            <w:vAlign w:val="center"/>
          </w:tcPr>
          <w:p w14:paraId="0D436B8C" w14:textId="77777777" w:rsidR="00576B8E" w:rsidRDefault="00576B8E" w:rsidP="00576B8E">
            <w:pPr>
              <w:spacing w:before="240"/>
              <w:rPr>
                <w:rFonts w:cstheme="minorHAnsi"/>
                <w:bCs w:val="0"/>
                <w:color w:val="000000" w:themeColor="text1"/>
                <w:sz w:val="20"/>
                <w:szCs w:val="18"/>
              </w:rPr>
            </w:pPr>
            <w:r>
              <w:rPr>
                <w:rFonts w:cstheme="minorHAnsi"/>
                <w:b w:val="0"/>
                <w:color w:val="000000" w:themeColor="text1"/>
                <w:sz w:val="20"/>
                <w:szCs w:val="18"/>
              </w:rPr>
              <w:lastRenderedPageBreak/>
              <w:t xml:space="preserve">Enligt </w:t>
            </w:r>
            <w:r w:rsidRPr="00E46871">
              <w:rPr>
                <w:rFonts w:cstheme="minorHAnsi"/>
                <w:b w:val="0"/>
                <w:color w:val="000000" w:themeColor="text1"/>
                <w:sz w:val="20"/>
                <w:szCs w:val="18"/>
              </w:rPr>
              <w:t xml:space="preserve">Folkhälsomyndighetens föreskrifter med anledning av pandemilagen ska </w:t>
            </w:r>
            <w:r>
              <w:rPr>
                <w:rFonts w:cstheme="minorHAnsi"/>
                <w:b w:val="0"/>
                <w:color w:val="000000" w:themeColor="text1"/>
                <w:sz w:val="20"/>
                <w:szCs w:val="18"/>
              </w:rPr>
              <w:t>varje person ska ha 10 kvm yta till förfogande.</w:t>
            </w:r>
          </w:p>
          <w:p w14:paraId="79630192" w14:textId="03252820" w:rsidR="00576B8E" w:rsidRPr="008B1ECD" w:rsidRDefault="00576B8E" w:rsidP="00C24E1E">
            <w:pPr>
              <w:spacing w:before="240"/>
              <w:rPr>
                <w:rFonts w:cstheme="minorHAnsi"/>
                <w:b w:val="0"/>
                <w:color w:val="000000" w:themeColor="text1"/>
                <w:sz w:val="20"/>
                <w:szCs w:val="18"/>
              </w:rPr>
            </w:pPr>
            <w:r w:rsidRPr="00E46871">
              <w:rPr>
                <w:rFonts w:cstheme="minorHAnsi"/>
                <w:b w:val="0"/>
                <w:bCs w:val="0"/>
                <w:color w:val="000000" w:themeColor="text1"/>
                <w:sz w:val="20"/>
                <w:szCs w:val="18"/>
              </w:rPr>
              <w:t>Det innebär att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18"/>
              </w:rPr>
              <w:t>;</w:t>
            </w:r>
            <w:r w:rsidR="00C24E1E">
              <w:rPr>
                <w:rFonts w:cstheme="minorHAnsi"/>
                <w:b w:val="0"/>
                <w:bCs w:val="0"/>
                <w:color w:val="000000" w:themeColor="text1"/>
                <w:sz w:val="20"/>
                <w:szCs w:val="18"/>
              </w:rPr>
              <w:br/>
            </w:r>
            <w:r w:rsidRPr="008B1ECD">
              <w:rPr>
                <w:rFonts w:cstheme="minorHAnsi"/>
                <w:b w:val="0"/>
                <w:color w:val="000000" w:themeColor="text1"/>
                <w:sz w:val="20"/>
                <w:szCs w:val="18"/>
              </w:rPr>
              <w:t>Anläggningens totala yta</w:t>
            </w:r>
            <w:r>
              <w:rPr>
                <w:rFonts w:cstheme="minorHAnsi"/>
                <w:b w:val="0"/>
                <w:color w:val="000000" w:themeColor="text1"/>
                <w:sz w:val="20"/>
                <w:szCs w:val="18"/>
              </w:rPr>
              <w:t xml:space="preserve"> ska uppmätas</w:t>
            </w:r>
            <w:r>
              <w:rPr>
                <w:rFonts w:cstheme="minorHAnsi"/>
                <w:b w:val="0"/>
                <w:color w:val="000000" w:themeColor="text1"/>
                <w:sz w:val="20"/>
                <w:szCs w:val="18"/>
              </w:rPr>
              <w:br/>
            </w:r>
            <w:r w:rsidRPr="008B1ECD">
              <w:rPr>
                <w:rFonts w:cstheme="minorHAnsi"/>
                <w:b w:val="0"/>
                <w:color w:val="000000" w:themeColor="text1"/>
                <w:sz w:val="20"/>
                <w:szCs w:val="18"/>
              </w:rPr>
              <w:t xml:space="preserve">Maxantal </w:t>
            </w:r>
            <w:r>
              <w:rPr>
                <w:rFonts w:cstheme="minorHAnsi"/>
                <w:b w:val="0"/>
                <w:color w:val="000000" w:themeColor="text1"/>
                <w:sz w:val="20"/>
                <w:szCs w:val="18"/>
              </w:rPr>
              <w:t>totalt</w:t>
            </w:r>
            <w:r w:rsidRPr="008B1ECD">
              <w:rPr>
                <w:rFonts w:cstheme="minorHAnsi"/>
                <w:b w:val="0"/>
                <w:color w:val="000000" w:themeColor="text1"/>
                <w:sz w:val="20"/>
                <w:szCs w:val="18"/>
              </w:rPr>
              <w:t xml:space="preserve"> (yta</w:t>
            </w:r>
            <w:r>
              <w:rPr>
                <w:rFonts w:cstheme="minorHAnsi"/>
                <w:b w:val="0"/>
                <w:color w:val="000000" w:themeColor="text1"/>
                <w:sz w:val="20"/>
                <w:szCs w:val="18"/>
              </w:rPr>
              <w:t xml:space="preserve"> i kvm</w:t>
            </w:r>
            <w:r w:rsidRPr="008B1ECD">
              <w:rPr>
                <w:rFonts w:cstheme="minorHAnsi"/>
                <w:b w:val="0"/>
                <w:color w:val="000000" w:themeColor="text1"/>
                <w:sz w:val="20"/>
                <w:szCs w:val="18"/>
              </w:rPr>
              <w:t>/10)</w:t>
            </w:r>
          </w:p>
        </w:tc>
        <w:tc>
          <w:tcPr>
            <w:tcW w:w="237" w:type="pct"/>
            <w:vAlign w:val="center"/>
          </w:tcPr>
          <w:p w14:paraId="6640242A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45B84F47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67" w:type="pct"/>
          </w:tcPr>
          <w:p w14:paraId="4A0B2A53" w14:textId="77777777" w:rsidR="00C24E1E" w:rsidRDefault="009E6F2F" w:rsidP="00C2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" w:tgtFrame="_blank" w:history="1">
              <w:r w:rsidR="00C24E1E" w:rsidRPr="00B61E9F">
                <w:rPr>
                  <w:rStyle w:val="Hyperlnk"/>
                  <w:rFonts w:cstheme="minorHAnsi"/>
                </w:rPr>
                <w:t>Så här räkn</w:t>
              </w:r>
              <w:r w:rsidR="00C24E1E" w:rsidRPr="00B61E9F">
                <w:rPr>
                  <w:rStyle w:val="Hyperlnk"/>
                  <w:rFonts w:cstheme="minorHAnsi"/>
                </w:rPr>
                <w:t>a</w:t>
              </w:r>
              <w:r w:rsidR="00C24E1E" w:rsidRPr="00B61E9F">
                <w:rPr>
                  <w:rStyle w:val="Hyperlnk"/>
                  <w:rFonts w:cstheme="minorHAnsi"/>
                </w:rPr>
                <w:t>r du ut kvadratmeter</w:t>
              </w:r>
            </w:hyperlink>
          </w:p>
          <w:p w14:paraId="4AC61F79" w14:textId="224E2C7B" w:rsidR="00576B8E" w:rsidRPr="00D6206D" w:rsidRDefault="00A42EE2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Total inomhusyta är 7</w:t>
            </w:r>
            <w:r w:rsidR="009E6F2F">
              <w:rPr>
                <w:rFonts w:cstheme="minorHAnsi"/>
                <w:sz w:val="20"/>
                <w:szCs w:val="18"/>
              </w:rPr>
              <w:t>8</w:t>
            </w:r>
            <w:r>
              <w:rPr>
                <w:rFonts w:cstheme="minorHAnsi"/>
                <w:sz w:val="20"/>
                <w:szCs w:val="18"/>
              </w:rPr>
              <w:t>00m2 vilket medför maximalt 7</w:t>
            </w:r>
            <w:r w:rsidR="009E6F2F">
              <w:rPr>
                <w:rFonts w:cstheme="minorHAnsi"/>
                <w:sz w:val="20"/>
                <w:szCs w:val="18"/>
              </w:rPr>
              <w:t>8</w:t>
            </w:r>
            <w:r>
              <w:rPr>
                <w:rFonts w:cstheme="minorHAnsi"/>
                <w:sz w:val="20"/>
                <w:szCs w:val="18"/>
              </w:rPr>
              <w:t>0 deltagare, funktionärer och ev. publik.</w:t>
            </w:r>
          </w:p>
        </w:tc>
      </w:tr>
      <w:tr w:rsidR="00576B8E" w:rsidRPr="00D6206D" w14:paraId="432E794E" w14:textId="77777777" w:rsidTr="00576B8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pct"/>
            <w:vAlign w:val="center"/>
          </w:tcPr>
          <w:p w14:paraId="2B399D1C" w14:textId="77777777" w:rsidR="00576B8E" w:rsidRPr="008B1ECD" w:rsidRDefault="00576B8E" w:rsidP="00576B8E">
            <w:pPr>
              <w:spacing w:before="240"/>
              <w:rPr>
                <w:rFonts w:cstheme="minorHAnsi"/>
                <w:b w:val="0"/>
                <w:color w:val="000000" w:themeColor="text1"/>
                <w:sz w:val="20"/>
                <w:szCs w:val="18"/>
              </w:rPr>
            </w:pPr>
            <w:r w:rsidRPr="008B1ECD">
              <w:rPr>
                <w:rFonts w:cstheme="minorHAnsi"/>
                <w:b w:val="0"/>
                <w:color w:val="000000" w:themeColor="text1"/>
                <w:sz w:val="20"/>
                <w:szCs w:val="18"/>
              </w:rPr>
              <w:t>Antal zoner, namn på zonerna och zonernas respektive yta</w:t>
            </w:r>
          </w:p>
          <w:p w14:paraId="5C4D0054" w14:textId="77777777" w:rsidR="00576B8E" w:rsidRPr="008B1ECD" w:rsidRDefault="00576B8E" w:rsidP="00576B8E">
            <w:pPr>
              <w:spacing w:before="240"/>
              <w:rPr>
                <w:rFonts w:cstheme="minorHAnsi"/>
                <w:b w:val="0"/>
                <w:color w:val="000000" w:themeColor="text1"/>
                <w:sz w:val="20"/>
                <w:szCs w:val="18"/>
              </w:rPr>
            </w:pPr>
            <w:r w:rsidRPr="008B1ECD">
              <w:rPr>
                <w:rFonts w:cstheme="minorHAnsi"/>
                <w:b w:val="0"/>
                <w:bCs w:val="0"/>
                <w:color w:val="000000" w:themeColor="text1"/>
                <w:sz w:val="20"/>
                <w:szCs w:val="18"/>
              </w:rPr>
              <w:t>Maxantal på plats i respektive zon (yta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18"/>
              </w:rPr>
              <w:t xml:space="preserve"> i kvm</w:t>
            </w:r>
            <w:r w:rsidRPr="008B1ECD">
              <w:rPr>
                <w:rFonts w:cstheme="minorHAnsi"/>
                <w:b w:val="0"/>
                <w:bCs w:val="0"/>
                <w:color w:val="000000" w:themeColor="text1"/>
                <w:sz w:val="20"/>
                <w:szCs w:val="18"/>
              </w:rPr>
              <w:t>/10)</w:t>
            </w:r>
          </w:p>
        </w:tc>
        <w:tc>
          <w:tcPr>
            <w:tcW w:w="237" w:type="pct"/>
            <w:vAlign w:val="center"/>
          </w:tcPr>
          <w:p w14:paraId="11128975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0F301969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67" w:type="pct"/>
          </w:tcPr>
          <w:p w14:paraId="434B84B2" w14:textId="7432408B" w:rsidR="009E6F2F" w:rsidRPr="00D6206D" w:rsidRDefault="00A42EE2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Zon 1, Tävlingshall – 3600 m2 = 360 </w:t>
            </w:r>
            <w:proofErr w:type="spellStart"/>
            <w:r>
              <w:rPr>
                <w:rFonts w:cstheme="minorHAnsi"/>
                <w:sz w:val="20"/>
                <w:szCs w:val="18"/>
              </w:rPr>
              <w:t>pers</w:t>
            </w:r>
            <w:proofErr w:type="spellEnd"/>
            <w:r>
              <w:rPr>
                <w:rFonts w:cstheme="minorHAnsi"/>
                <w:sz w:val="20"/>
                <w:szCs w:val="18"/>
              </w:rPr>
              <w:br/>
              <w:t xml:space="preserve">Zon 2, Framridningshall – 1000 m2 = 100 </w:t>
            </w:r>
            <w:proofErr w:type="spellStart"/>
            <w:r>
              <w:rPr>
                <w:rFonts w:cstheme="minorHAnsi"/>
                <w:sz w:val="20"/>
                <w:szCs w:val="18"/>
              </w:rPr>
              <w:t>pers</w:t>
            </w:r>
            <w:proofErr w:type="spellEnd"/>
            <w:r>
              <w:rPr>
                <w:rFonts w:cstheme="minorHAnsi"/>
                <w:sz w:val="20"/>
                <w:szCs w:val="18"/>
              </w:rPr>
              <w:br/>
              <w:t xml:space="preserve">Zon 3, Stall 1 – 2000 m2 = 200 </w:t>
            </w:r>
            <w:proofErr w:type="spellStart"/>
            <w:r>
              <w:rPr>
                <w:rFonts w:cstheme="minorHAnsi"/>
                <w:sz w:val="20"/>
                <w:szCs w:val="18"/>
              </w:rPr>
              <w:t>pers</w:t>
            </w:r>
            <w:proofErr w:type="spellEnd"/>
            <w:r>
              <w:rPr>
                <w:rFonts w:cstheme="minorHAnsi"/>
                <w:sz w:val="20"/>
                <w:szCs w:val="18"/>
              </w:rPr>
              <w:br/>
              <w:t xml:space="preserve">Zon 4, Stall 2 – 900 m2 = 90 </w:t>
            </w:r>
            <w:proofErr w:type="spellStart"/>
            <w:r>
              <w:rPr>
                <w:rFonts w:cstheme="minorHAnsi"/>
                <w:sz w:val="20"/>
                <w:szCs w:val="18"/>
              </w:rPr>
              <w:t>pers</w:t>
            </w:r>
            <w:proofErr w:type="spellEnd"/>
            <w:r w:rsidR="009E6F2F">
              <w:rPr>
                <w:rFonts w:cstheme="minorHAnsi"/>
                <w:sz w:val="20"/>
                <w:szCs w:val="18"/>
              </w:rPr>
              <w:br/>
              <w:t xml:space="preserve">Zon 5, Restaurant – 300m2 = 30 </w:t>
            </w:r>
            <w:proofErr w:type="spellStart"/>
            <w:r w:rsidR="009E6F2F">
              <w:rPr>
                <w:rFonts w:cstheme="minorHAnsi"/>
                <w:sz w:val="20"/>
                <w:szCs w:val="18"/>
              </w:rPr>
              <w:t>pers</w:t>
            </w:r>
            <w:proofErr w:type="spellEnd"/>
          </w:p>
        </w:tc>
      </w:tr>
      <w:tr w:rsidR="00576B8E" w:rsidRPr="00D6206D" w14:paraId="2FA3EBEE" w14:textId="77777777" w:rsidTr="00576B8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pct"/>
            <w:vAlign w:val="center"/>
          </w:tcPr>
          <w:p w14:paraId="68F07A9A" w14:textId="77777777" w:rsidR="00576B8E" w:rsidRPr="007F307F" w:rsidRDefault="00576B8E" w:rsidP="00576B8E">
            <w:pPr>
              <w:spacing w:before="240"/>
              <w:rPr>
                <w:rFonts w:cstheme="minorHAnsi"/>
                <w:bCs w:val="0"/>
                <w:color w:val="000000" w:themeColor="text1"/>
                <w:sz w:val="20"/>
                <w:szCs w:val="18"/>
              </w:rPr>
            </w:pPr>
            <w:r w:rsidRPr="008B1ECD">
              <w:rPr>
                <w:rFonts w:cstheme="minorHAnsi"/>
                <w:b w:val="0"/>
                <w:color w:val="000000" w:themeColor="text1"/>
                <w:sz w:val="20"/>
                <w:szCs w:val="18"/>
              </w:rPr>
              <w:t>Maxantal totalt och för var</w:t>
            </w:r>
            <w:r>
              <w:rPr>
                <w:rFonts w:cstheme="minorHAnsi"/>
                <w:b w:val="0"/>
                <w:color w:val="000000" w:themeColor="text1"/>
                <w:sz w:val="20"/>
                <w:szCs w:val="18"/>
              </w:rPr>
              <w:t>j</w:t>
            </w:r>
            <w:r w:rsidRPr="008B1ECD">
              <w:rPr>
                <w:rFonts w:cstheme="minorHAnsi"/>
                <w:b w:val="0"/>
                <w:color w:val="000000" w:themeColor="text1"/>
                <w:sz w:val="20"/>
                <w:szCs w:val="18"/>
              </w:rPr>
              <w:t>e zon anslaget vid huvudentré och entré till respektive zon</w:t>
            </w:r>
          </w:p>
        </w:tc>
        <w:tc>
          <w:tcPr>
            <w:tcW w:w="237" w:type="pct"/>
            <w:vAlign w:val="center"/>
          </w:tcPr>
          <w:p w14:paraId="6C9C5AE8" w14:textId="3363E789" w:rsidR="00576B8E" w:rsidRPr="00D6206D" w:rsidRDefault="00A42EE2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76" w:type="pct"/>
            <w:vAlign w:val="center"/>
          </w:tcPr>
          <w:p w14:paraId="455864E0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67" w:type="pct"/>
          </w:tcPr>
          <w:p w14:paraId="6B22C31C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</w:tr>
      <w:tr w:rsidR="00576B8E" w:rsidRPr="00D6206D" w14:paraId="16A2FB56" w14:textId="77777777" w:rsidTr="00576B8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pct"/>
            <w:vAlign w:val="center"/>
          </w:tcPr>
          <w:p w14:paraId="3E9ECC86" w14:textId="77777777" w:rsidR="00576B8E" w:rsidRPr="008B1ECD" w:rsidRDefault="00576B8E" w:rsidP="00576B8E">
            <w:pPr>
              <w:spacing w:before="240"/>
              <w:rPr>
                <w:rFonts w:cstheme="minorHAnsi"/>
                <w:b w:val="0"/>
                <w:color w:val="000000" w:themeColor="text1"/>
                <w:sz w:val="20"/>
                <w:szCs w:val="18"/>
              </w:rPr>
            </w:pPr>
            <w:r w:rsidRPr="008B1ECD">
              <w:rPr>
                <w:rFonts w:cstheme="minorHAnsi"/>
                <w:b w:val="0"/>
                <w:color w:val="000000" w:themeColor="text1"/>
                <w:sz w:val="20"/>
                <w:szCs w:val="18"/>
              </w:rPr>
              <w:t>Maxantal totalt och för varje zon publicerat i proposition, ryttarmeddelande och på online.equipe.com</w:t>
            </w:r>
          </w:p>
        </w:tc>
        <w:tc>
          <w:tcPr>
            <w:tcW w:w="237" w:type="pct"/>
            <w:vAlign w:val="center"/>
          </w:tcPr>
          <w:p w14:paraId="6D18F9F5" w14:textId="1AB64E7C" w:rsidR="00576B8E" w:rsidRPr="00D6206D" w:rsidRDefault="00A42EE2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76" w:type="pct"/>
            <w:vAlign w:val="center"/>
          </w:tcPr>
          <w:p w14:paraId="723A1E91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67" w:type="pct"/>
          </w:tcPr>
          <w:p w14:paraId="3AB3968A" w14:textId="77777777" w:rsidR="00576B8E" w:rsidRPr="00D6206D" w:rsidRDefault="00576B8E" w:rsidP="00576B8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</w:tr>
    </w:tbl>
    <w:p w14:paraId="310F5D09" w14:textId="1E86EB23" w:rsidR="001A2D0B" w:rsidRDefault="001A2D0B" w:rsidP="009957DB">
      <w:pPr>
        <w:rPr>
          <w:rFonts w:cstheme="minorHAnsi"/>
          <w:b/>
          <w:szCs w:val="32"/>
        </w:rPr>
      </w:pPr>
    </w:p>
    <w:p w14:paraId="606AC1E7" w14:textId="77777777" w:rsidR="00BA4DBF" w:rsidRPr="00FB3C00" w:rsidRDefault="00BA4DBF" w:rsidP="009957DB">
      <w:pPr>
        <w:rPr>
          <w:rFonts w:cstheme="minorHAnsi"/>
          <w:b/>
          <w:szCs w:val="32"/>
        </w:rPr>
      </w:pPr>
    </w:p>
    <w:p w14:paraId="640B9A40" w14:textId="4FD078E5" w:rsidR="009957DB" w:rsidRDefault="009957DB" w:rsidP="009957DB">
      <w:pPr>
        <w:ind w:left="360"/>
      </w:pPr>
      <w:r w:rsidRPr="003F3F63">
        <w:rPr>
          <w:shd w:val="clear" w:color="auto" w:fill="FFFFFF"/>
        </w:rPr>
        <w:br/>
      </w:r>
    </w:p>
    <w:p w14:paraId="2C2981D0" w14:textId="77777777" w:rsidR="009957DB" w:rsidRPr="003F3F63" w:rsidRDefault="009957DB" w:rsidP="009957DB">
      <w:pPr>
        <w:rPr>
          <w:rFonts w:cstheme="minorHAnsi"/>
          <w:szCs w:val="20"/>
        </w:rPr>
      </w:pPr>
    </w:p>
    <w:p w14:paraId="4BD35AC0" w14:textId="4AD4F28B" w:rsidR="00962B37" w:rsidRDefault="00962B37" w:rsidP="00962B37"/>
    <w:sectPr w:rsidR="00962B37" w:rsidSect="00D0633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C4DA5"/>
    <w:multiLevelType w:val="multilevel"/>
    <w:tmpl w:val="02780050"/>
    <w:lvl w:ilvl="0">
      <w:start w:val="19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4401F6F"/>
    <w:multiLevelType w:val="hybridMultilevel"/>
    <w:tmpl w:val="419A0D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42FF8"/>
    <w:multiLevelType w:val="hybridMultilevel"/>
    <w:tmpl w:val="F5485BB6"/>
    <w:lvl w:ilvl="0" w:tplc="C534D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638D0"/>
    <w:multiLevelType w:val="hybridMultilevel"/>
    <w:tmpl w:val="8828012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86240F"/>
    <w:multiLevelType w:val="hybridMultilevel"/>
    <w:tmpl w:val="3B3244A0"/>
    <w:lvl w:ilvl="0" w:tplc="5288C0FC">
      <w:start w:val="19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80"/>
    <w:rsid w:val="00002223"/>
    <w:rsid w:val="000044EC"/>
    <w:rsid w:val="00007C95"/>
    <w:rsid w:val="00020819"/>
    <w:rsid w:val="0006685E"/>
    <w:rsid w:val="000C258C"/>
    <w:rsid w:val="00102DE1"/>
    <w:rsid w:val="00127BBD"/>
    <w:rsid w:val="00152204"/>
    <w:rsid w:val="00172770"/>
    <w:rsid w:val="00194715"/>
    <w:rsid w:val="001A10A0"/>
    <w:rsid w:val="001A2D0B"/>
    <w:rsid w:val="001D2D73"/>
    <w:rsid w:val="001E03FA"/>
    <w:rsid w:val="001E37FC"/>
    <w:rsid w:val="001E6956"/>
    <w:rsid w:val="00216828"/>
    <w:rsid w:val="00232121"/>
    <w:rsid w:val="00255D9F"/>
    <w:rsid w:val="00282467"/>
    <w:rsid w:val="00297DEF"/>
    <w:rsid w:val="002A1AA2"/>
    <w:rsid w:val="002C3094"/>
    <w:rsid w:val="002E12FB"/>
    <w:rsid w:val="00301CB2"/>
    <w:rsid w:val="00306ABA"/>
    <w:rsid w:val="0030705C"/>
    <w:rsid w:val="003100C3"/>
    <w:rsid w:val="003653C9"/>
    <w:rsid w:val="003926D4"/>
    <w:rsid w:val="00401319"/>
    <w:rsid w:val="004B1FB6"/>
    <w:rsid w:val="004C4CAF"/>
    <w:rsid w:val="004C6A83"/>
    <w:rsid w:val="004F5FC5"/>
    <w:rsid w:val="005036D1"/>
    <w:rsid w:val="00505986"/>
    <w:rsid w:val="00544092"/>
    <w:rsid w:val="005664CD"/>
    <w:rsid w:val="00576B8E"/>
    <w:rsid w:val="00577C67"/>
    <w:rsid w:val="005847D2"/>
    <w:rsid w:val="005A3547"/>
    <w:rsid w:val="005B5D67"/>
    <w:rsid w:val="00613A3F"/>
    <w:rsid w:val="00616B3E"/>
    <w:rsid w:val="0062005F"/>
    <w:rsid w:val="00627F66"/>
    <w:rsid w:val="0064172D"/>
    <w:rsid w:val="006463C8"/>
    <w:rsid w:val="006A151F"/>
    <w:rsid w:val="006C1920"/>
    <w:rsid w:val="00730CFD"/>
    <w:rsid w:val="00790495"/>
    <w:rsid w:val="007B60ED"/>
    <w:rsid w:val="007C1F80"/>
    <w:rsid w:val="007E5302"/>
    <w:rsid w:val="008658D6"/>
    <w:rsid w:val="00873F85"/>
    <w:rsid w:val="0088107E"/>
    <w:rsid w:val="00890548"/>
    <w:rsid w:val="008D521A"/>
    <w:rsid w:val="008E3600"/>
    <w:rsid w:val="008F29C3"/>
    <w:rsid w:val="009004DA"/>
    <w:rsid w:val="009407CE"/>
    <w:rsid w:val="00962B37"/>
    <w:rsid w:val="0099256A"/>
    <w:rsid w:val="009957DB"/>
    <w:rsid w:val="009B34B1"/>
    <w:rsid w:val="009E6F2F"/>
    <w:rsid w:val="00A42EE2"/>
    <w:rsid w:val="00A644A9"/>
    <w:rsid w:val="00A7655D"/>
    <w:rsid w:val="00AC2AA7"/>
    <w:rsid w:val="00AC5BC9"/>
    <w:rsid w:val="00B2316C"/>
    <w:rsid w:val="00B3497E"/>
    <w:rsid w:val="00B4168C"/>
    <w:rsid w:val="00B538C5"/>
    <w:rsid w:val="00B76825"/>
    <w:rsid w:val="00B90009"/>
    <w:rsid w:val="00BA4DBF"/>
    <w:rsid w:val="00BB3E89"/>
    <w:rsid w:val="00C17F1B"/>
    <w:rsid w:val="00C24E1E"/>
    <w:rsid w:val="00C465D8"/>
    <w:rsid w:val="00C555D1"/>
    <w:rsid w:val="00C97208"/>
    <w:rsid w:val="00CB25E0"/>
    <w:rsid w:val="00CB702B"/>
    <w:rsid w:val="00CE4FD1"/>
    <w:rsid w:val="00D01468"/>
    <w:rsid w:val="00D0633C"/>
    <w:rsid w:val="00D324E9"/>
    <w:rsid w:val="00D517DC"/>
    <w:rsid w:val="00D63C65"/>
    <w:rsid w:val="00E03B5F"/>
    <w:rsid w:val="00E47B84"/>
    <w:rsid w:val="00F32E02"/>
    <w:rsid w:val="00F77A5C"/>
    <w:rsid w:val="00FB4FF4"/>
    <w:rsid w:val="00FC3336"/>
    <w:rsid w:val="00FD0E52"/>
    <w:rsid w:val="00FD2429"/>
    <w:rsid w:val="00FD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4C3A"/>
  <w15:chartTrackingRefBased/>
  <w15:docId w15:val="{2E07C140-9EAD-4317-ADF5-51F782B6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8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ormaltextrun">
    <w:name w:val="normaltextrun"/>
    <w:basedOn w:val="Standardstycketeckensnitt"/>
    <w:rsid w:val="007C1F80"/>
  </w:style>
  <w:style w:type="character" w:styleId="Hyperlnk">
    <w:name w:val="Hyperlink"/>
    <w:basedOn w:val="Standardstycketeckensnitt"/>
    <w:uiPriority w:val="99"/>
    <w:unhideWhenUsed/>
    <w:rsid w:val="00CB25E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B25E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62B37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1E03FA"/>
    <w:rPr>
      <w:color w:val="954F72" w:themeColor="followedHyperlink"/>
      <w:u w:val="single"/>
    </w:rPr>
  </w:style>
  <w:style w:type="table" w:styleId="Rutntstabell1ljus">
    <w:name w:val="Grid Table 1 Light"/>
    <w:basedOn w:val="Normaltabell"/>
    <w:uiPriority w:val="46"/>
    <w:rsid w:val="00306A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rutnt">
    <w:name w:val="Table Grid"/>
    <w:basedOn w:val="Normaltabell"/>
    <w:uiPriority w:val="39"/>
    <w:rsid w:val="00301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rknaut-bua.nu/kvadratmete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idsport.se/tavling/Regleroch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0ABBA-6797-4588-BC2B-3BD7579F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323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Sand (Ridsport)</dc:creator>
  <cp:keywords/>
  <dc:description/>
  <cp:lastModifiedBy>Per Widlundh</cp:lastModifiedBy>
  <cp:revision>4</cp:revision>
  <cp:lastPrinted>2021-05-17T07:12:00Z</cp:lastPrinted>
  <dcterms:created xsi:type="dcterms:W3CDTF">2021-05-17T07:13:00Z</dcterms:created>
  <dcterms:modified xsi:type="dcterms:W3CDTF">2021-05-17T15:43:00Z</dcterms:modified>
</cp:coreProperties>
</file>